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68" w:rsidRPr="002E7819" w:rsidRDefault="006C7968" w:rsidP="006C7968">
      <w:pPr>
        <w:spacing w:after="225" w:line="240" w:lineRule="auto"/>
        <w:outlineLvl w:val="0"/>
        <w:rPr>
          <w:rFonts w:ascii="inherit" w:eastAsia="Times New Roman" w:hAnsi="inherit" w:cs="Times New Roman"/>
          <w:color w:val="3B4255"/>
          <w:kern w:val="36"/>
          <w:sz w:val="36"/>
          <w:szCs w:val="36"/>
          <w:lang w:eastAsia="ru-RU"/>
        </w:rPr>
      </w:pPr>
      <w:bookmarkStart w:id="0" w:name="_GoBack"/>
      <w:bookmarkEnd w:id="0"/>
      <w:r w:rsidRPr="002E7819">
        <w:rPr>
          <w:rFonts w:ascii="inherit" w:eastAsia="Times New Roman" w:hAnsi="inherit" w:cs="Times New Roman"/>
          <w:color w:val="3B4255"/>
          <w:kern w:val="36"/>
          <w:sz w:val="36"/>
          <w:szCs w:val="36"/>
          <w:lang w:eastAsia="ru-RU"/>
        </w:rPr>
        <w:t>Министерство просвещения опубликовало методические рекомендации по организации дистанционного обучения</w:t>
      </w:r>
    </w:p>
    <w:p w:rsidR="006C7968" w:rsidRPr="002E7819" w:rsidRDefault="006C7968" w:rsidP="006C7968">
      <w:pPr>
        <w:spacing w:line="240" w:lineRule="auto"/>
        <w:rPr>
          <w:rFonts w:ascii="Times New Roman" w:eastAsia="Times New Roman" w:hAnsi="Times New Roman" w:cs="Times New Roman"/>
          <w:color w:val="60678E"/>
          <w:sz w:val="19"/>
          <w:szCs w:val="19"/>
          <w:lang w:eastAsia="ru-RU"/>
        </w:rPr>
      </w:pPr>
      <w:r w:rsidRPr="002E7819">
        <w:rPr>
          <w:rFonts w:ascii="Times New Roman" w:eastAsia="Times New Roman" w:hAnsi="Times New Roman" w:cs="Times New Roman"/>
          <w:color w:val="60678E"/>
          <w:sz w:val="19"/>
          <w:szCs w:val="19"/>
          <w:lang w:eastAsia="ru-RU"/>
        </w:rPr>
        <w:t>20 марта 2020, 13:09</w:t>
      </w:r>
    </w:p>
    <w:p w:rsidR="006C7968" w:rsidRPr="002E7819" w:rsidRDefault="006C7968" w:rsidP="006C7968">
      <w:pPr>
        <w:spacing w:line="28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2E7819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Минпросвещения</w:t>
      </w:r>
      <w:proofErr w:type="spellEnd"/>
      <w:r w:rsidRPr="002E781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разработало, опубликовало и направило в регионы </w:t>
      </w:r>
      <w:hyperlink r:id="rId8" w:tgtFrame="_blank" w:history="1">
        <w:r w:rsidRPr="002E7819">
          <w:rPr>
            <w:rFonts w:ascii="Times New Roman" w:eastAsia="Times New Roman" w:hAnsi="Times New Roman" w:cs="Times New Roman"/>
            <w:color w:val="154EC9"/>
            <w:sz w:val="29"/>
            <w:lang w:eastAsia="ru-RU"/>
          </w:rPr>
          <w:t>методические рекомендации</w:t>
        </w:r>
      </w:hyperlink>
      <w:r w:rsidRPr="002E7819">
        <w:rPr>
          <w:rFonts w:ascii="Times New Roman" w:eastAsia="Times New Roman" w:hAnsi="Times New Roman" w:cs="Times New Roman"/>
          <w:sz w:val="29"/>
          <w:szCs w:val="29"/>
          <w:lang w:eastAsia="ru-RU"/>
        </w:rPr>
        <w:t> по реализации программ начального общего, основного общего, среднего общего,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6C7968" w:rsidRPr="002E7819" w:rsidRDefault="006C7968" w:rsidP="006C7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C7968" w:rsidRPr="002E7819" w:rsidRDefault="006C7968" w:rsidP="006C7968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7819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Пресс-служба </w:t>
      </w:r>
      <w:proofErr w:type="spellStart"/>
      <w:r w:rsidRPr="002E7819">
        <w:rPr>
          <w:rFonts w:ascii="Arial" w:eastAsia="Times New Roman" w:hAnsi="Arial" w:cs="Arial"/>
          <w:color w:val="212529"/>
          <w:sz w:val="17"/>
          <w:szCs w:val="17"/>
          <w:lang w:eastAsia="ru-RU"/>
        </w:rPr>
        <w:t>Минпросвещения</w:t>
      </w:r>
      <w:proofErr w:type="spellEnd"/>
      <w:r w:rsidRPr="002E7819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России</w:t>
      </w:r>
    </w:p>
    <w:p w:rsidR="006C7968" w:rsidRPr="002E7819" w:rsidRDefault="006C7968" w:rsidP="006C7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23 марта до 12 апреля включительно все российские школы переходят на режим каникул или дистанционные формы обучения. Также на удалённую учёбу переводят студентов учреждений СПО.</w:t>
      </w:r>
    </w:p>
    <w:p w:rsidR="006C7968" w:rsidRPr="002E7819" w:rsidRDefault="006C7968" w:rsidP="006C7968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Методические рекомендации описывают примерные модели реализации образовательных программ, особенности проведения учебной и производственной практик в дистанционном формате.</w:t>
      </w:r>
    </w:p>
    <w:p w:rsidR="006C7968" w:rsidRPr="002E7819" w:rsidRDefault="006C7968" w:rsidP="006C7968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Общеобразовательным организациям рекомендуется проводить учебные занятия, консультации, </w:t>
      </w:r>
      <w:proofErr w:type="spellStart"/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вебинары</w:t>
      </w:r>
      <w:proofErr w:type="spellEnd"/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школьном портале или другой платформе с использованием различных электронных образовательных ресурсов. Педагогам методические рекомендации помогут организовать и выстроить дистанционные уроки. В приложении к рекомендациям приводится пример организации урока в режиме </w:t>
      </w:r>
      <w:proofErr w:type="spellStart"/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видео-конференц-связи</w:t>
      </w:r>
      <w:proofErr w:type="spellEnd"/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использованием платформы «</w:t>
      </w:r>
      <w:proofErr w:type="spellStart"/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Скайп</w:t>
      </w:r>
      <w:proofErr w:type="spellEnd"/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</w:t>
      </w:r>
    </w:p>
    <w:p w:rsidR="006C7968" w:rsidRPr="002E7819" w:rsidRDefault="006C7968" w:rsidP="006C7968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Организации СПО могут самостоятельно определять электронные ресурсы и приложения для использования в учебном процессе.</w:t>
      </w:r>
    </w:p>
    <w:p w:rsidR="006C7968" w:rsidRPr="002E7819" w:rsidRDefault="006C7968" w:rsidP="006C7968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Возможности цифровой образовательной среды, реализованные меры в рамках нацпроекта «Образование», наличие широкого набора технологических решений и </w:t>
      </w:r>
      <w:proofErr w:type="spellStart"/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онлайн-платформ</w:t>
      </w:r>
      <w:proofErr w:type="spellEnd"/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помогут педагогам своевременно отвечать на вопросы учащихся и оценивать их работу в удаленной форме.</w:t>
      </w:r>
    </w:p>
    <w:p w:rsidR="006C7968" w:rsidRPr="002E7819" w:rsidRDefault="006C7968" w:rsidP="006C7968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Все возникающие вопросы в ежедневном режиме отслеживает созданная </w:t>
      </w:r>
      <w:proofErr w:type="spellStart"/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и </w:t>
      </w:r>
      <w:proofErr w:type="spellStart"/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Рособрнадзором</w:t>
      </w:r>
      <w:proofErr w:type="spellEnd"/>
      <w:r w:rsidRPr="002E781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рабочая группа по взаимодействию и координации с региональными органами управления образованием.</w:t>
      </w:r>
    </w:p>
    <w:p w:rsidR="006C7968" w:rsidRPr="002E7819" w:rsidRDefault="006C7968" w:rsidP="006C7968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781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Горячая линия по координации и поддержке региональных и муниципальных органов управления образованием и руководителей образовательных организаций: +7 (495) 984-89-19.</w:t>
      </w:r>
    </w:p>
    <w:p w:rsidR="006C7968" w:rsidRPr="002E7819" w:rsidRDefault="006C7968" w:rsidP="006C7968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781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Горячая линия методической поддержки учителей и родителей: +7 (800) 200-91-85 (круглосуточно в режиме 24/7).</w:t>
      </w:r>
    </w:p>
    <w:p w:rsidR="00AD533C" w:rsidRPr="006C7968" w:rsidRDefault="006C7968" w:rsidP="006C7968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E781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Горячая линия по вопросам среднего профессионального образования: +7 (977) 978-29-69, +7 (977) 978-30-31, +7 (985) 457-67-15 (для лиц с ограниченными возможностями здоровья и инвалидов, а также по вопросам движения «</w:t>
      </w:r>
      <w:proofErr w:type="spellStart"/>
      <w:r w:rsidRPr="002E781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Абилимпикс</w:t>
      </w:r>
      <w:proofErr w:type="spellEnd"/>
      <w:r w:rsidRPr="002E781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»).</w:t>
      </w: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которая 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>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8A4D7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8A4D7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8A4D76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8A4D7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8A4D76" w:rsidP="00E8618B">
      <w:pPr>
        <w:ind w:left="360"/>
        <w:jc w:val="center"/>
      </w:pPr>
      <w:r w:rsidRPr="008A4D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88" w:rsidRDefault="00507B88" w:rsidP="00AD746F">
      <w:pPr>
        <w:spacing w:after="0" w:line="240" w:lineRule="auto"/>
      </w:pPr>
      <w:r>
        <w:separator/>
      </w:r>
    </w:p>
    <w:p w:rsidR="00507B88" w:rsidRDefault="00507B88"/>
  </w:endnote>
  <w:endnote w:type="continuationSeparator" w:id="0">
    <w:p w:rsidR="00507B88" w:rsidRDefault="00507B88" w:rsidP="00AD746F">
      <w:pPr>
        <w:spacing w:after="0" w:line="240" w:lineRule="auto"/>
      </w:pPr>
      <w:r>
        <w:continuationSeparator/>
      </w:r>
    </w:p>
    <w:p w:rsidR="00507B88" w:rsidRDefault="00507B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88" w:rsidRDefault="00507B88" w:rsidP="00AD746F">
      <w:pPr>
        <w:spacing w:after="0" w:line="240" w:lineRule="auto"/>
      </w:pPr>
      <w:r>
        <w:separator/>
      </w:r>
    </w:p>
    <w:p w:rsidR="00507B88" w:rsidRDefault="00507B88"/>
  </w:footnote>
  <w:footnote w:type="continuationSeparator" w:id="0">
    <w:p w:rsidR="00507B88" w:rsidRDefault="00507B88" w:rsidP="00AD746F">
      <w:pPr>
        <w:spacing w:after="0" w:line="240" w:lineRule="auto"/>
      </w:pPr>
      <w:r>
        <w:continuationSeparator/>
      </w:r>
    </w:p>
    <w:p w:rsidR="00507B88" w:rsidRDefault="00507B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8A4D76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6C7968">
          <w:rPr>
            <w:noProof/>
            <w:sz w:val="24"/>
            <w:szCs w:val="24"/>
          </w:rPr>
          <w:t>8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07B88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C7968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A4D76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aa857e0152bd199507ffaa15f77c58/" TargetMode="Externa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01A3-10E8-42FB-96CB-E0CD11BC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Admin</cp:lastModifiedBy>
  <cp:revision>4</cp:revision>
  <cp:lastPrinted>2020-03-19T08:37:00Z</cp:lastPrinted>
  <dcterms:created xsi:type="dcterms:W3CDTF">2020-03-19T14:38:00Z</dcterms:created>
  <dcterms:modified xsi:type="dcterms:W3CDTF">2020-03-27T06:37:00Z</dcterms:modified>
</cp:coreProperties>
</file>